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B502" w14:textId="39DFDB3D" w:rsidR="00887DFA" w:rsidRPr="00887DFA" w:rsidRDefault="00D5305F" w:rsidP="001463BF">
      <w:pPr>
        <w:tabs>
          <w:tab w:val="left" w:pos="1541"/>
        </w:tabs>
        <w:kinsoku w:val="0"/>
        <w:overflowPunct w:val="0"/>
        <w:autoSpaceDE w:val="0"/>
        <w:autoSpaceDN w:val="0"/>
        <w:adjustRightInd w:val="0"/>
        <w:spacing w:before="70" w:after="0" w:line="240" w:lineRule="auto"/>
        <w:jc w:val="center"/>
        <w:rPr>
          <w:rFonts w:cstheme="minorHAnsi"/>
          <w:b/>
          <w:color w:val="000000"/>
          <w:sz w:val="28"/>
          <w:szCs w:val="28"/>
          <w:u w:val="single"/>
        </w:rPr>
      </w:pPr>
      <w:r>
        <w:rPr>
          <w:rFonts w:cstheme="minorHAnsi"/>
          <w:b/>
          <w:color w:val="000000"/>
          <w:sz w:val="36"/>
          <w:szCs w:val="36"/>
          <w:u w:val="single"/>
        </w:rPr>
        <w:t>Reading and Interpreting Your Lab Results</w:t>
      </w:r>
    </w:p>
    <w:p w14:paraId="4B2A2FF7" w14:textId="77777777" w:rsidR="003B037F" w:rsidRDefault="003B037F" w:rsidP="002C615C">
      <w:pPr>
        <w:tabs>
          <w:tab w:val="left" w:pos="1541"/>
        </w:tabs>
        <w:kinsoku w:val="0"/>
        <w:overflowPunct w:val="0"/>
        <w:autoSpaceDE w:val="0"/>
        <w:autoSpaceDN w:val="0"/>
        <w:adjustRightInd w:val="0"/>
        <w:spacing w:before="70" w:after="0" w:line="240" w:lineRule="auto"/>
        <w:rPr>
          <w:rFonts w:cstheme="minorHAnsi"/>
          <w:color w:val="000000"/>
          <w:sz w:val="24"/>
          <w:szCs w:val="24"/>
        </w:rPr>
      </w:pPr>
    </w:p>
    <w:p w14:paraId="25888A02" w14:textId="07E083BA" w:rsidR="002E4806" w:rsidRDefault="003B037F" w:rsidP="002C615C">
      <w:pPr>
        <w:tabs>
          <w:tab w:val="left" w:pos="1541"/>
        </w:tabs>
        <w:kinsoku w:val="0"/>
        <w:overflowPunct w:val="0"/>
        <w:autoSpaceDE w:val="0"/>
        <w:autoSpaceDN w:val="0"/>
        <w:adjustRightInd w:val="0"/>
        <w:spacing w:before="70"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Your lab report may look confusing at first, but this guide will help you understand how to read the lead test results. </w:t>
      </w:r>
    </w:p>
    <w:p w14:paraId="02234679" w14:textId="77777777" w:rsidR="00827536" w:rsidRDefault="00827536" w:rsidP="002C615C">
      <w:pPr>
        <w:tabs>
          <w:tab w:val="left" w:pos="1541"/>
        </w:tabs>
        <w:kinsoku w:val="0"/>
        <w:overflowPunct w:val="0"/>
        <w:autoSpaceDE w:val="0"/>
        <w:autoSpaceDN w:val="0"/>
        <w:adjustRightInd w:val="0"/>
        <w:spacing w:before="70" w:after="0" w:line="240" w:lineRule="auto"/>
        <w:rPr>
          <w:rFonts w:cstheme="minorHAnsi"/>
          <w:color w:val="000000"/>
          <w:sz w:val="24"/>
          <w:szCs w:val="24"/>
          <w:highlight w:val="yellow"/>
        </w:rPr>
      </w:pPr>
    </w:p>
    <w:p w14:paraId="1E5337F9" w14:textId="2D55B1FA" w:rsidR="002E4806" w:rsidRPr="00CD0B5E" w:rsidRDefault="00F400AB" w:rsidP="001B177C">
      <w:pPr>
        <w:pStyle w:val="ListParagraph"/>
        <w:tabs>
          <w:tab w:val="left" w:pos="1541"/>
        </w:tabs>
        <w:kinsoku w:val="0"/>
        <w:overflowPunct w:val="0"/>
        <w:autoSpaceDE w:val="0"/>
        <w:autoSpaceDN w:val="0"/>
        <w:adjustRightInd w:val="0"/>
        <w:spacing w:before="70" w:after="0" w:line="240" w:lineRule="auto"/>
        <w:ind w:left="0"/>
        <w:rPr>
          <w:rFonts w:cstheme="minorHAnsi"/>
          <w:b/>
          <w:bCs/>
          <w:color w:val="000000"/>
          <w:sz w:val="24"/>
          <w:szCs w:val="24"/>
        </w:rPr>
      </w:pPr>
      <w:r w:rsidRPr="00CD0B5E">
        <w:rPr>
          <w:rFonts w:cstheme="minorHAnsi"/>
          <w:b/>
          <w:bCs/>
          <w:color w:val="000000"/>
          <w:sz w:val="24"/>
          <w:szCs w:val="24"/>
        </w:rPr>
        <w:t xml:space="preserve">STEP 1: </w:t>
      </w:r>
      <w:r w:rsidR="00FF75BF" w:rsidRPr="00CD0B5E">
        <w:rPr>
          <w:rFonts w:cstheme="minorHAnsi"/>
          <w:b/>
          <w:bCs/>
          <w:color w:val="000000"/>
          <w:sz w:val="24"/>
          <w:szCs w:val="24"/>
        </w:rPr>
        <w:t>Find the Result Column</w:t>
      </w:r>
    </w:p>
    <w:p w14:paraId="48E09A15" w14:textId="42DF35CE" w:rsidR="00CD0B5E" w:rsidRDefault="00CD0B5E" w:rsidP="001B177C">
      <w:pPr>
        <w:pStyle w:val="ListParagraph"/>
        <w:tabs>
          <w:tab w:val="left" w:pos="1541"/>
        </w:tabs>
        <w:kinsoku w:val="0"/>
        <w:overflowPunct w:val="0"/>
        <w:autoSpaceDE w:val="0"/>
        <w:autoSpaceDN w:val="0"/>
        <w:adjustRightInd w:val="0"/>
        <w:spacing w:before="70" w:after="0" w:line="240" w:lineRule="auto"/>
        <w:ind w:left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Locate the column labeled ‘Result’ in your lab report. This number shows how much lead was detected in the sample.</w:t>
      </w:r>
    </w:p>
    <w:p w14:paraId="4C33451B" w14:textId="0DC82E0F" w:rsidR="00CD0B5E" w:rsidRDefault="00CD0B5E" w:rsidP="001B177C">
      <w:pPr>
        <w:pStyle w:val="ListParagraph"/>
        <w:tabs>
          <w:tab w:val="left" w:pos="1541"/>
        </w:tabs>
        <w:kinsoku w:val="0"/>
        <w:overflowPunct w:val="0"/>
        <w:autoSpaceDE w:val="0"/>
        <w:autoSpaceDN w:val="0"/>
        <w:adjustRightInd w:val="0"/>
        <w:spacing w:before="70" w:after="0" w:line="240" w:lineRule="auto"/>
        <w:ind w:left="0"/>
        <w:rPr>
          <w:rFonts w:cstheme="minorHAnsi"/>
          <w:color w:val="000000"/>
          <w:sz w:val="24"/>
          <w:szCs w:val="24"/>
        </w:rPr>
      </w:pPr>
    </w:p>
    <w:p w14:paraId="1664557F" w14:textId="42B0298E" w:rsidR="00CD0B5E" w:rsidRDefault="00CD0B5E" w:rsidP="001B177C">
      <w:pPr>
        <w:pStyle w:val="ListParagraph"/>
        <w:tabs>
          <w:tab w:val="left" w:pos="1541"/>
        </w:tabs>
        <w:kinsoku w:val="0"/>
        <w:overflowPunct w:val="0"/>
        <w:autoSpaceDE w:val="0"/>
        <w:autoSpaceDN w:val="0"/>
        <w:adjustRightInd w:val="0"/>
        <w:spacing w:before="70" w:after="0" w:line="240" w:lineRule="auto"/>
        <w:ind w:left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You may see symbols before the number, including:</w:t>
      </w:r>
    </w:p>
    <w:p w14:paraId="07B983E3" w14:textId="69537547" w:rsidR="00CD0B5E" w:rsidRDefault="00CD0B5E" w:rsidP="00CD0B5E">
      <w:pPr>
        <w:pStyle w:val="ListParagraph"/>
        <w:numPr>
          <w:ilvl w:val="0"/>
          <w:numId w:val="18"/>
        </w:numPr>
        <w:tabs>
          <w:tab w:val="left" w:pos="1541"/>
        </w:tabs>
        <w:kinsoku w:val="0"/>
        <w:overflowPunct w:val="0"/>
        <w:autoSpaceDE w:val="0"/>
        <w:autoSpaceDN w:val="0"/>
        <w:adjustRightInd w:val="0"/>
        <w:spacing w:before="70"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&lt; (less than)</w:t>
      </w:r>
    </w:p>
    <w:p w14:paraId="0BCFAB42" w14:textId="139A048D" w:rsidR="00CD0B5E" w:rsidRDefault="00CD0B5E" w:rsidP="00CD0B5E">
      <w:pPr>
        <w:pStyle w:val="ListParagraph"/>
        <w:numPr>
          <w:ilvl w:val="0"/>
          <w:numId w:val="18"/>
        </w:numPr>
        <w:tabs>
          <w:tab w:val="left" w:pos="1541"/>
        </w:tabs>
        <w:kinsoku w:val="0"/>
        <w:overflowPunct w:val="0"/>
        <w:autoSpaceDE w:val="0"/>
        <w:autoSpaceDN w:val="0"/>
        <w:adjustRightInd w:val="0"/>
        <w:spacing w:before="70"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ND (non-detect)</w:t>
      </w:r>
    </w:p>
    <w:p w14:paraId="7996FEC8" w14:textId="5417F6BB" w:rsidR="001B177C" w:rsidRDefault="00BB2722" w:rsidP="001B177C">
      <w:pPr>
        <w:pStyle w:val="ListParagraph"/>
        <w:tabs>
          <w:tab w:val="left" w:pos="1541"/>
        </w:tabs>
        <w:kinsoku w:val="0"/>
        <w:overflowPunct w:val="0"/>
        <w:autoSpaceDE w:val="0"/>
        <w:autoSpaceDN w:val="0"/>
        <w:adjustRightInd w:val="0"/>
        <w:spacing w:before="70" w:after="0" w:line="240" w:lineRule="auto"/>
        <w:ind w:left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These symbols indicate the amount of lead detected was below the laboratory detection limit. This is a good sign because it means that there was not enough lead in the sample to be detected above the lab’s detection limits.</w:t>
      </w:r>
    </w:p>
    <w:p w14:paraId="4DCFCE1E" w14:textId="77777777" w:rsidR="00514D0E" w:rsidRDefault="00514D0E" w:rsidP="001B177C">
      <w:pPr>
        <w:pStyle w:val="ListParagraph"/>
        <w:tabs>
          <w:tab w:val="left" w:pos="1541"/>
        </w:tabs>
        <w:kinsoku w:val="0"/>
        <w:overflowPunct w:val="0"/>
        <w:autoSpaceDE w:val="0"/>
        <w:autoSpaceDN w:val="0"/>
        <w:adjustRightInd w:val="0"/>
        <w:spacing w:before="70" w:after="0" w:line="240" w:lineRule="auto"/>
        <w:rPr>
          <w:rFonts w:cstheme="minorHAnsi"/>
          <w:color w:val="000000"/>
          <w:sz w:val="24"/>
          <w:szCs w:val="24"/>
        </w:rPr>
      </w:pPr>
    </w:p>
    <w:p w14:paraId="4C8E41F8" w14:textId="4DE8AD4A" w:rsidR="00887DFA" w:rsidRDefault="000979FA" w:rsidP="00FF75BF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CD0B5E">
        <w:rPr>
          <w:rFonts w:asciiTheme="minorHAnsi" w:hAnsiTheme="minorHAnsi" w:cstheme="minorHAnsi"/>
          <w:b/>
          <w:bCs/>
          <w:color w:val="auto"/>
        </w:rPr>
        <w:t xml:space="preserve">STEP </w:t>
      </w:r>
      <w:r w:rsidR="00373B6C" w:rsidRPr="00CD0B5E">
        <w:rPr>
          <w:rFonts w:asciiTheme="minorHAnsi" w:hAnsiTheme="minorHAnsi" w:cstheme="minorHAnsi"/>
          <w:b/>
          <w:bCs/>
          <w:color w:val="auto"/>
        </w:rPr>
        <w:t>2</w:t>
      </w:r>
      <w:r w:rsidRPr="00CD0B5E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CD0B5E">
        <w:rPr>
          <w:rFonts w:asciiTheme="minorHAnsi" w:hAnsiTheme="minorHAnsi" w:cstheme="minorHAnsi"/>
          <w:b/>
          <w:bCs/>
          <w:color w:val="auto"/>
        </w:rPr>
        <w:t>Check the Units</w:t>
      </w:r>
    </w:p>
    <w:p w14:paraId="0542C2A3" w14:textId="5A8CB651" w:rsidR="00CD0B5E" w:rsidRDefault="00BB2722" w:rsidP="00FF75BF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Look for the </w:t>
      </w:r>
      <w:r w:rsidR="00A20E7E">
        <w:rPr>
          <w:rFonts w:asciiTheme="minorHAnsi" w:hAnsiTheme="minorHAnsi" w:cstheme="minorHAnsi"/>
          <w:color w:val="auto"/>
        </w:rPr>
        <w:t xml:space="preserve">‘Units’ listed in your lab report. </w:t>
      </w:r>
    </w:p>
    <w:p w14:paraId="2BA7AC60" w14:textId="77777777" w:rsidR="00B237CF" w:rsidRDefault="00B237CF" w:rsidP="00FF75BF">
      <w:pPr>
        <w:pStyle w:val="Default"/>
        <w:rPr>
          <w:rFonts w:asciiTheme="minorHAnsi" w:hAnsiTheme="minorHAnsi" w:cstheme="minorHAnsi"/>
          <w:color w:val="auto"/>
        </w:rPr>
      </w:pPr>
    </w:p>
    <w:p w14:paraId="7FE2FD7D" w14:textId="468471A0" w:rsidR="00B237CF" w:rsidRDefault="00B468B7" w:rsidP="00B237CF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</w:t>
      </w:r>
      <w:r w:rsidR="00B237CF">
        <w:rPr>
          <w:rFonts w:asciiTheme="minorHAnsi" w:hAnsiTheme="minorHAnsi" w:cstheme="minorHAnsi"/>
          <w:color w:val="auto"/>
        </w:rPr>
        <w:t>g/L – milligrams per liter</w:t>
      </w:r>
    </w:p>
    <w:p w14:paraId="0E1E9E02" w14:textId="6F1B0767" w:rsidR="00B237CF" w:rsidRDefault="00B237CF" w:rsidP="00B237CF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µg/L – micrograms per liter</w:t>
      </w:r>
    </w:p>
    <w:p w14:paraId="6EA41760" w14:textId="4460ED8C" w:rsidR="00B237CF" w:rsidRPr="00BB2722" w:rsidRDefault="00B237CF" w:rsidP="00B237CF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Use the column in the table below that matches the units shown in your lab report. </w:t>
      </w:r>
    </w:p>
    <w:p w14:paraId="0885A907" w14:textId="77777777" w:rsidR="002E4806" w:rsidRPr="009B74A4" w:rsidRDefault="002E4806" w:rsidP="00B237CF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</w:p>
    <w:p w14:paraId="3CB1FFA8" w14:textId="77777777" w:rsidR="00887DFA" w:rsidRPr="009B74A4" w:rsidRDefault="00887DFA" w:rsidP="00887DFA">
      <w:pPr>
        <w:pStyle w:val="Default"/>
        <w:rPr>
          <w:b/>
          <w:bCs/>
          <w:color w:val="313D4F"/>
          <w:sz w:val="16"/>
          <w:szCs w:val="16"/>
        </w:rPr>
      </w:pPr>
    </w:p>
    <w:p w14:paraId="13A996FE" w14:textId="48CBDEBE" w:rsidR="009500C0" w:rsidRDefault="000979FA" w:rsidP="002042C3">
      <w:pPr>
        <w:spacing w:after="0"/>
        <w:rPr>
          <w:b/>
          <w:bCs/>
          <w:sz w:val="24"/>
          <w:szCs w:val="24"/>
        </w:rPr>
      </w:pPr>
      <w:r w:rsidRPr="00B237CF">
        <w:rPr>
          <w:b/>
          <w:bCs/>
          <w:sz w:val="24"/>
          <w:szCs w:val="24"/>
        </w:rPr>
        <w:t xml:space="preserve">STEP </w:t>
      </w:r>
      <w:r w:rsidR="00373B6C" w:rsidRPr="00B237CF">
        <w:rPr>
          <w:b/>
          <w:bCs/>
          <w:sz w:val="24"/>
          <w:szCs w:val="24"/>
        </w:rPr>
        <w:t>3</w:t>
      </w:r>
      <w:r w:rsidRPr="00B237CF">
        <w:rPr>
          <w:b/>
          <w:bCs/>
          <w:sz w:val="24"/>
          <w:szCs w:val="24"/>
        </w:rPr>
        <w:t xml:space="preserve">: </w:t>
      </w:r>
      <w:r w:rsidR="00B237CF">
        <w:rPr>
          <w:b/>
          <w:bCs/>
          <w:sz w:val="24"/>
          <w:szCs w:val="24"/>
        </w:rPr>
        <w:t>Lead Result Interpretation</w:t>
      </w:r>
    </w:p>
    <w:p w14:paraId="74D6C13D" w14:textId="40E692F9" w:rsidR="00BA03B4" w:rsidRDefault="00B237CF" w:rsidP="002042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table below shows how lead results are </w:t>
      </w:r>
      <w:r w:rsidR="002042C3">
        <w:rPr>
          <w:sz w:val="24"/>
          <w:szCs w:val="24"/>
        </w:rPr>
        <w:t>grouped into bins depending on the reported units.</w:t>
      </w:r>
    </w:p>
    <w:p w14:paraId="0CA7CA8B" w14:textId="43BFB068" w:rsidR="002042C3" w:rsidRDefault="002042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042C3" w14:paraId="284A7D95" w14:textId="77777777" w:rsidTr="002042C3">
        <w:tc>
          <w:tcPr>
            <w:tcW w:w="3116" w:type="dxa"/>
          </w:tcPr>
          <w:p w14:paraId="48973759" w14:textId="4B677DF6" w:rsidR="002042C3" w:rsidRDefault="002042C3">
            <w:r>
              <w:t>Bin Placement</w:t>
            </w:r>
          </w:p>
        </w:tc>
        <w:tc>
          <w:tcPr>
            <w:tcW w:w="3117" w:type="dxa"/>
          </w:tcPr>
          <w:p w14:paraId="6C333822" w14:textId="5A674590" w:rsidR="002042C3" w:rsidRDefault="00B468B7">
            <w:r>
              <w:t>If Units are mg/L</w:t>
            </w:r>
          </w:p>
        </w:tc>
        <w:tc>
          <w:tcPr>
            <w:tcW w:w="3117" w:type="dxa"/>
          </w:tcPr>
          <w:p w14:paraId="03FD5249" w14:textId="53914072" w:rsidR="002042C3" w:rsidRDefault="00B468B7">
            <w:r>
              <w:t xml:space="preserve">If units are </w:t>
            </w:r>
            <w:r>
              <w:rPr>
                <w:rFonts w:cstheme="minorHAnsi"/>
              </w:rPr>
              <w:t>µ</w:t>
            </w:r>
            <w:r>
              <w:t>g/L</w:t>
            </w:r>
          </w:p>
        </w:tc>
      </w:tr>
      <w:tr w:rsidR="002042C3" w14:paraId="0168B1A3" w14:textId="77777777" w:rsidTr="002042C3">
        <w:tc>
          <w:tcPr>
            <w:tcW w:w="3116" w:type="dxa"/>
          </w:tcPr>
          <w:p w14:paraId="4CC08669" w14:textId="67A545F5" w:rsidR="002042C3" w:rsidRDefault="002042C3">
            <w:r>
              <w:t>Bin 1</w:t>
            </w:r>
          </w:p>
        </w:tc>
        <w:tc>
          <w:tcPr>
            <w:tcW w:w="3117" w:type="dxa"/>
          </w:tcPr>
          <w:p w14:paraId="10F1365A" w14:textId="7C456BC8" w:rsidR="002042C3" w:rsidRDefault="00B468B7">
            <w:r>
              <w:t>A</w:t>
            </w:r>
            <w:r w:rsidR="003E1477">
              <w:t>bove 0.015</w:t>
            </w:r>
          </w:p>
        </w:tc>
        <w:tc>
          <w:tcPr>
            <w:tcW w:w="3117" w:type="dxa"/>
          </w:tcPr>
          <w:p w14:paraId="10BEC3C2" w14:textId="5D5983E9" w:rsidR="002042C3" w:rsidRDefault="005C042D">
            <w:r>
              <w:t>Above 15</w:t>
            </w:r>
          </w:p>
        </w:tc>
      </w:tr>
      <w:tr w:rsidR="002042C3" w14:paraId="7D840BED" w14:textId="77777777" w:rsidTr="002042C3">
        <w:tc>
          <w:tcPr>
            <w:tcW w:w="3116" w:type="dxa"/>
          </w:tcPr>
          <w:p w14:paraId="28736A9F" w14:textId="0E8CD4E2" w:rsidR="002042C3" w:rsidRDefault="00B468B7">
            <w:r>
              <w:t>Bin 2</w:t>
            </w:r>
          </w:p>
        </w:tc>
        <w:tc>
          <w:tcPr>
            <w:tcW w:w="3117" w:type="dxa"/>
          </w:tcPr>
          <w:p w14:paraId="6ECE1646" w14:textId="34C98999" w:rsidR="002042C3" w:rsidRDefault="005C042D">
            <w:r>
              <w:t>Between 0.005 – 0.015</w:t>
            </w:r>
          </w:p>
        </w:tc>
        <w:tc>
          <w:tcPr>
            <w:tcW w:w="3117" w:type="dxa"/>
          </w:tcPr>
          <w:p w14:paraId="73396FD4" w14:textId="77161FE2" w:rsidR="002042C3" w:rsidRDefault="005C042D">
            <w:r>
              <w:t>Between 5-15</w:t>
            </w:r>
          </w:p>
        </w:tc>
      </w:tr>
      <w:tr w:rsidR="002042C3" w14:paraId="54735E25" w14:textId="77777777" w:rsidTr="002042C3">
        <w:tc>
          <w:tcPr>
            <w:tcW w:w="3116" w:type="dxa"/>
          </w:tcPr>
          <w:p w14:paraId="4DCA834D" w14:textId="48EAF4FD" w:rsidR="002042C3" w:rsidRDefault="00B468B7">
            <w:r>
              <w:t>Bin 3</w:t>
            </w:r>
          </w:p>
        </w:tc>
        <w:tc>
          <w:tcPr>
            <w:tcW w:w="3117" w:type="dxa"/>
          </w:tcPr>
          <w:p w14:paraId="6D1BF2B8" w14:textId="10360558" w:rsidR="002042C3" w:rsidRDefault="005C042D">
            <w:r>
              <w:t>Below 0.005 (including ND)</w:t>
            </w:r>
          </w:p>
        </w:tc>
        <w:tc>
          <w:tcPr>
            <w:tcW w:w="3117" w:type="dxa"/>
          </w:tcPr>
          <w:p w14:paraId="643B5D33" w14:textId="1652A93D" w:rsidR="002042C3" w:rsidRDefault="005C042D">
            <w:r>
              <w:t>Below 5 (including ND)</w:t>
            </w:r>
          </w:p>
        </w:tc>
      </w:tr>
    </w:tbl>
    <w:p w14:paraId="216FC062" w14:textId="48C82B83" w:rsidR="002042C3" w:rsidRDefault="002042C3"/>
    <w:p w14:paraId="56D4D3E1" w14:textId="7C57B93E" w:rsidR="007842E5" w:rsidRPr="00967E55" w:rsidRDefault="008449C7">
      <w:pPr>
        <w:rPr>
          <w:u w:val="single"/>
        </w:rPr>
      </w:pPr>
      <w:r w:rsidRPr="00967E55">
        <w:rPr>
          <w:u w:val="single"/>
        </w:rPr>
        <w:t>Action levels based on sample results:</w:t>
      </w:r>
    </w:p>
    <w:p w14:paraId="2A658EE8" w14:textId="763D6E02" w:rsidR="008449C7" w:rsidRDefault="008449C7">
      <w:r>
        <w:t xml:space="preserve">Bin 1 – Immediately discontinue use of the affected fixture. </w:t>
      </w:r>
    </w:p>
    <w:p w14:paraId="576FBECB" w14:textId="48CE16BA" w:rsidR="008449C7" w:rsidRDefault="008449C7">
      <w:r>
        <w:t xml:space="preserve">Bin 2 – Evaluate the conditions at affected fixtures and determine appropriate </w:t>
      </w:r>
      <w:r w:rsidR="00FA0BBC">
        <w:t>remedial action. Interim flushing plan must be developed if fixture is to remain in service.</w:t>
      </w:r>
    </w:p>
    <w:p w14:paraId="3E7C480A" w14:textId="2F2AB381" w:rsidR="00FA0BBC" w:rsidRDefault="00FA0BBC">
      <w:r>
        <w:t>Bin 3 – No remedial action</w:t>
      </w:r>
      <w:r w:rsidR="00FE2DB9">
        <w:t xml:space="preserve"> is required, conduct routine sampling. </w:t>
      </w:r>
    </w:p>
    <w:sectPr w:rsidR="00FA0BBC" w:rsidSect="002E4806">
      <w:head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5F10A" w14:textId="77777777" w:rsidR="00511F59" w:rsidRDefault="00511F59" w:rsidP="003E223D">
      <w:pPr>
        <w:spacing w:after="0" w:line="240" w:lineRule="auto"/>
      </w:pPr>
      <w:r>
        <w:separator/>
      </w:r>
    </w:p>
  </w:endnote>
  <w:endnote w:type="continuationSeparator" w:id="0">
    <w:p w14:paraId="67AD48AB" w14:textId="77777777" w:rsidR="00511F59" w:rsidRDefault="00511F59" w:rsidP="003E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0C98" w14:textId="77777777" w:rsidR="00511F59" w:rsidRDefault="00511F59" w:rsidP="003E223D">
      <w:pPr>
        <w:spacing w:after="0" w:line="240" w:lineRule="auto"/>
      </w:pPr>
      <w:r>
        <w:separator/>
      </w:r>
    </w:p>
  </w:footnote>
  <w:footnote w:type="continuationSeparator" w:id="0">
    <w:p w14:paraId="23A75C95" w14:textId="77777777" w:rsidR="00511F59" w:rsidRDefault="00511F59" w:rsidP="003E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4604" w14:textId="77777777" w:rsidR="000979FA" w:rsidRDefault="000979FA">
    <w:pPr>
      <w:pStyle w:val="Header"/>
    </w:pPr>
  </w:p>
  <w:p w14:paraId="45BDDB5F" w14:textId="77777777" w:rsidR="000979FA" w:rsidRDefault="000979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4D3"/>
    <w:multiLevelType w:val="hybridMultilevel"/>
    <w:tmpl w:val="132C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D333F"/>
    <w:multiLevelType w:val="hybridMultilevel"/>
    <w:tmpl w:val="6C28A8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F6694"/>
    <w:multiLevelType w:val="hybridMultilevel"/>
    <w:tmpl w:val="244C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331C"/>
    <w:multiLevelType w:val="hybridMultilevel"/>
    <w:tmpl w:val="EEF838F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3CB24642"/>
    <w:multiLevelType w:val="hybridMultilevel"/>
    <w:tmpl w:val="37F632A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3D232509"/>
    <w:multiLevelType w:val="hybridMultilevel"/>
    <w:tmpl w:val="E8EC340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413C6F74"/>
    <w:multiLevelType w:val="hybridMultilevel"/>
    <w:tmpl w:val="0076EA9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4C32CB1"/>
    <w:multiLevelType w:val="hybridMultilevel"/>
    <w:tmpl w:val="8934F5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2A1586"/>
    <w:multiLevelType w:val="hybridMultilevel"/>
    <w:tmpl w:val="D3DA0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C6EE8"/>
    <w:multiLevelType w:val="hybridMultilevel"/>
    <w:tmpl w:val="10120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B83A5A"/>
    <w:multiLevelType w:val="hybridMultilevel"/>
    <w:tmpl w:val="ACD29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D87942"/>
    <w:multiLevelType w:val="hybridMultilevel"/>
    <w:tmpl w:val="7090BF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55014C33"/>
    <w:multiLevelType w:val="hybridMultilevel"/>
    <w:tmpl w:val="11BCD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C0512"/>
    <w:multiLevelType w:val="hybridMultilevel"/>
    <w:tmpl w:val="650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35AC"/>
    <w:multiLevelType w:val="hybridMultilevel"/>
    <w:tmpl w:val="8BA23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81044"/>
    <w:multiLevelType w:val="hybridMultilevel"/>
    <w:tmpl w:val="432A28B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6B060A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C7738D"/>
    <w:multiLevelType w:val="hybridMultilevel"/>
    <w:tmpl w:val="749AA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6D5A7C"/>
    <w:multiLevelType w:val="hybridMultilevel"/>
    <w:tmpl w:val="9A66B3B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1864442389">
    <w:abstractNumId w:val="16"/>
  </w:num>
  <w:num w:numId="2" w16cid:durableId="1707288160">
    <w:abstractNumId w:val="11"/>
  </w:num>
  <w:num w:numId="3" w16cid:durableId="1357927705">
    <w:abstractNumId w:val="6"/>
  </w:num>
  <w:num w:numId="4" w16cid:durableId="1790928564">
    <w:abstractNumId w:val="1"/>
  </w:num>
  <w:num w:numId="5" w16cid:durableId="869103019">
    <w:abstractNumId w:val="4"/>
  </w:num>
  <w:num w:numId="6" w16cid:durableId="1902016487">
    <w:abstractNumId w:val="15"/>
  </w:num>
  <w:num w:numId="7" w16cid:durableId="449209491">
    <w:abstractNumId w:val="13"/>
  </w:num>
  <w:num w:numId="8" w16cid:durableId="762454008">
    <w:abstractNumId w:val="0"/>
  </w:num>
  <w:num w:numId="9" w16cid:durableId="1548907081">
    <w:abstractNumId w:val="17"/>
  </w:num>
  <w:num w:numId="10" w16cid:durableId="1023017833">
    <w:abstractNumId w:val="7"/>
  </w:num>
  <w:num w:numId="11" w16cid:durableId="400256376">
    <w:abstractNumId w:val="3"/>
  </w:num>
  <w:num w:numId="12" w16cid:durableId="329214942">
    <w:abstractNumId w:val="5"/>
  </w:num>
  <w:num w:numId="13" w16cid:durableId="399989382">
    <w:abstractNumId w:val="18"/>
  </w:num>
  <w:num w:numId="14" w16cid:durableId="927813821">
    <w:abstractNumId w:val="10"/>
  </w:num>
  <w:num w:numId="15" w16cid:durableId="424884452">
    <w:abstractNumId w:val="9"/>
  </w:num>
  <w:num w:numId="16" w16cid:durableId="580598371">
    <w:abstractNumId w:val="12"/>
  </w:num>
  <w:num w:numId="17" w16cid:durableId="1270821320">
    <w:abstractNumId w:val="2"/>
  </w:num>
  <w:num w:numId="18" w16cid:durableId="746806399">
    <w:abstractNumId w:val="8"/>
  </w:num>
  <w:num w:numId="19" w16cid:durableId="4800791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FA"/>
    <w:rsid w:val="00013ED1"/>
    <w:rsid w:val="000220E3"/>
    <w:rsid w:val="00030F95"/>
    <w:rsid w:val="00060B62"/>
    <w:rsid w:val="00063893"/>
    <w:rsid w:val="000840C9"/>
    <w:rsid w:val="00091260"/>
    <w:rsid w:val="000979FA"/>
    <w:rsid w:val="000B2851"/>
    <w:rsid w:val="000D1612"/>
    <w:rsid w:val="00110FCC"/>
    <w:rsid w:val="00111AA3"/>
    <w:rsid w:val="00116CD4"/>
    <w:rsid w:val="001463BF"/>
    <w:rsid w:val="0014746D"/>
    <w:rsid w:val="00185738"/>
    <w:rsid w:val="001A04E2"/>
    <w:rsid w:val="001B177C"/>
    <w:rsid w:val="001B2964"/>
    <w:rsid w:val="001D385E"/>
    <w:rsid w:val="001D4032"/>
    <w:rsid w:val="001F255F"/>
    <w:rsid w:val="001F709F"/>
    <w:rsid w:val="002042C3"/>
    <w:rsid w:val="00222019"/>
    <w:rsid w:val="00226863"/>
    <w:rsid w:val="00232EE8"/>
    <w:rsid w:val="00272F93"/>
    <w:rsid w:val="00285DCA"/>
    <w:rsid w:val="002C504F"/>
    <w:rsid w:val="002C615C"/>
    <w:rsid w:val="002D49B2"/>
    <w:rsid w:val="002E324F"/>
    <w:rsid w:val="002E4025"/>
    <w:rsid w:val="002E4806"/>
    <w:rsid w:val="002F7FD9"/>
    <w:rsid w:val="00315DEB"/>
    <w:rsid w:val="003537C5"/>
    <w:rsid w:val="00373B6C"/>
    <w:rsid w:val="003B037F"/>
    <w:rsid w:val="003B18CC"/>
    <w:rsid w:val="003C1B7F"/>
    <w:rsid w:val="003D5456"/>
    <w:rsid w:val="003E1477"/>
    <w:rsid w:val="003E223D"/>
    <w:rsid w:val="003E7D0D"/>
    <w:rsid w:val="00400ECF"/>
    <w:rsid w:val="00436F9F"/>
    <w:rsid w:val="004437CA"/>
    <w:rsid w:val="0048770D"/>
    <w:rsid w:val="004963CA"/>
    <w:rsid w:val="004A38CE"/>
    <w:rsid w:val="004C1DEB"/>
    <w:rsid w:val="004F271C"/>
    <w:rsid w:val="00506ABA"/>
    <w:rsid w:val="005110B3"/>
    <w:rsid w:val="00511F59"/>
    <w:rsid w:val="00514D0E"/>
    <w:rsid w:val="0051548D"/>
    <w:rsid w:val="005519C1"/>
    <w:rsid w:val="00561A68"/>
    <w:rsid w:val="005A0142"/>
    <w:rsid w:val="005C042D"/>
    <w:rsid w:val="00606CC7"/>
    <w:rsid w:val="00623F95"/>
    <w:rsid w:val="006316B2"/>
    <w:rsid w:val="0067468D"/>
    <w:rsid w:val="00683FD9"/>
    <w:rsid w:val="006C0556"/>
    <w:rsid w:val="006E3F03"/>
    <w:rsid w:val="006E402D"/>
    <w:rsid w:val="007106CB"/>
    <w:rsid w:val="00736966"/>
    <w:rsid w:val="00761651"/>
    <w:rsid w:val="0077740C"/>
    <w:rsid w:val="007842E5"/>
    <w:rsid w:val="007B7DCD"/>
    <w:rsid w:val="007C2DD2"/>
    <w:rsid w:val="00805893"/>
    <w:rsid w:val="0082036F"/>
    <w:rsid w:val="00827536"/>
    <w:rsid w:val="008449C7"/>
    <w:rsid w:val="00887DFA"/>
    <w:rsid w:val="008A6C58"/>
    <w:rsid w:val="008B2FA1"/>
    <w:rsid w:val="00932E7D"/>
    <w:rsid w:val="009500C0"/>
    <w:rsid w:val="00967E55"/>
    <w:rsid w:val="00980429"/>
    <w:rsid w:val="009B74A4"/>
    <w:rsid w:val="009C4AB1"/>
    <w:rsid w:val="009D5AD5"/>
    <w:rsid w:val="009F227B"/>
    <w:rsid w:val="00A20E7E"/>
    <w:rsid w:val="00A47C4F"/>
    <w:rsid w:val="00A53B4D"/>
    <w:rsid w:val="00A5613F"/>
    <w:rsid w:val="00A66F97"/>
    <w:rsid w:val="00AA0C13"/>
    <w:rsid w:val="00AD7341"/>
    <w:rsid w:val="00AF3D06"/>
    <w:rsid w:val="00AF7865"/>
    <w:rsid w:val="00B10E85"/>
    <w:rsid w:val="00B237CF"/>
    <w:rsid w:val="00B24187"/>
    <w:rsid w:val="00B457FB"/>
    <w:rsid w:val="00B468B7"/>
    <w:rsid w:val="00B84553"/>
    <w:rsid w:val="00B90E7F"/>
    <w:rsid w:val="00B930E3"/>
    <w:rsid w:val="00BA03B4"/>
    <w:rsid w:val="00BB2722"/>
    <w:rsid w:val="00BE6620"/>
    <w:rsid w:val="00BF17E2"/>
    <w:rsid w:val="00C00351"/>
    <w:rsid w:val="00C3246C"/>
    <w:rsid w:val="00C35C91"/>
    <w:rsid w:val="00C437DF"/>
    <w:rsid w:val="00C50553"/>
    <w:rsid w:val="00C854C2"/>
    <w:rsid w:val="00CA47B5"/>
    <w:rsid w:val="00CD0B5E"/>
    <w:rsid w:val="00CE33D6"/>
    <w:rsid w:val="00CE75F5"/>
    <w:rsid w:val="00D5305F"/>
    <w:rsid w:val="00DA5808"/>
    <w:rsid w:val="00DC23E8"/>
    <w:rsid w:val="00DC6A6B"/>
    <w:rsid w:val="00DC7779"/>
    <w:rsid w:val="00DF6886"/>
    <w:rsid w:val="00E048D6"/>
    <w:rsid w:val="00E60DDF"/>
    <w:rsid w:val="00E67F59"/>
    <w:rsid w:val="00E75620"/>
    <w:rsid w:val="00EA2268"/>
    <w:rsid w:val="00F400AB"/>
    <w:rsid w:val="00F7641F"/>
    <w:rsid w:val="00F92291"/>
    <w:rsid w:val="00F97AF0"/>
    <w:rsid w:val="00FA0BBC"/>
    <w:rsid w:val="00FB72C5"/>
    <w:rsid w:val="00FB769B"/>
    <w:rsid w:val="00FE03D4"/>
    <w:rsid w:val="00FE2DB9"/>
    <w:rsid w:val="00FE44F5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BF3C7"/>
  <w15:chartTrackingRefBased/>
  <w15:docId w15:val="{F6A7E049-C081-487E-9E0D-892F808E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DFA"/>
    <w:pPr>
      <w:ind w:left="720"/>
      <w:contextualSpacing/>
    </w:pPr>
  </w:style>
  <w:style w:type="paragraph" w:customStyle="1" w:styleId="Default">
    <w:name w:val="Default"/>
    <w:rsid w:val="00887DFA"/>
    <w:pPr>
      <w:autoSpaceDE w:val="0"/>
      <w:autoSpaceDN w:val="0"/>
      <w:adjustRightInd w:val="0"/>
      <w:spacing w:after="0" w:line="240" w:lineRule="auto"/>
    </w:pPr>
    <w:rPr>
      <w:rFonts w:ascii="Gadugi" w:hAnsi="Gadugi" w:cs="Gadug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47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47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2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23D"/>
  </w:style>
  <w:style w:type="paragraph" w:styleId="Footer">
    <w:name w:val="footer"/>
    <w:basedOn w:val="Normal"/>
    <w:link w:val="FooterChar"/>
    <w:uiPriority w:val="99"/>
    <w:unhideWhenUsed/>
    <w:rsid w:val="003E2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23D"/>
  </w:style>
  <w:style w:type="paragraph" w:styleId="BalloonText">
    <w:name w:val="Balloon Text"/>
    <w:basedOn w:val="Normal"/>
    <w:link w:val="BalloonTextChar"/>
    <w:uiPriority w:val="99"/>
    <w:semiHidden/>
    <w:unhideWhenUsed/>
    <w:rsid w:val="00F40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0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0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0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0AB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400AB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042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D38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0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0C02-F1A3-465E-84DE-F38A3785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3- Understanding Your Results</dc:title>
  <dc:subject/>
  <dc:creator>Montgomery, Gregory</dc:creator>
  <cp:keywords/>
  <dc:description/>
  <cp:lastModifiedBy>Gaffney, Ella</cp:lastModifiedBy>
  <cp:revision>21</cp:revision>
  <dcterms:created xsi:type="dcterms:W3CDTF">2026-03-11T14:43:00Z</dcterms:created>
  <dcterms:modified xsi:type="dcterms:W3CDTF">2026-03-11T20:30:00Z</dcterms:modified>
</cp:coreProperties>
</file>